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0"/>
        <w:tblW w:w="9750" w:type="dxa"/>
        <w:jc w:val="left"/>
        <w:tblInd w:w="0" w:type="dxa"/>
        <w:tblLayout w:type="fixed"/>
        <w:tblCellMar>
          <w:top w:w="0" w:type="dxa"/>
          <w:left w:w="108" w:type="dxa"/>
          <w:bottom w:w="0" w:type="dxa"/>
          <w:right w:w="108" w:type="dxa"/>
        </w:tblCellMar>
        <w:tblLook w:val="04a0"/>
      </w:tblPr>
      <w:tblGrid>
        <w:gridCol w:w="5077"/>
        <w:gridCol w:w="4672"/>
      </w:tblGrid>
      <w:tr>
        <w:trPr>
          <w:trHeight w:val="3132" w:hRule="atLeast"/>
        </w:trPr>
        <w:tc>
          <w:tcPr>
            <w:tcW w:w="5077"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672" w:type="dxa"/>
            <w:tcBorders>
              <w:top w:val="nil"/>
              <w:left w:val="nil"/>
              <w:bottom w:val="nil"/>
              <w:right w:val="nil"/>
            </w:tcBorders>
          </w:tcPr>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от </w:t>
            </w:r>
            <w:r>
              <w:rPr>
                <w:rFonts w:eastAsia="Times New Roman" w:cs="Times New Roman" w:ascii="Times New Roman" w:hAnsi="Times New Roman"/>
                <w:kern w:val="0"/>
                <w:sz w:val="28"/>
                <w:szCs w:val="28"/>
                <w:lang w:val="ru-RU" w:eastAsia="ru-RU" w:bidi="ar-SA"/>
              </w:rPr>
              <w:t>12.07.2023</w:t>
            </w:r>
            <w:r>
              <w:rPr>
                <w:rFonts w:eastAsia="Times New Roman" w:cs="Times New Roman" w:ascii="Times New Roman" w:hAnsi="Times New Roman"/>
                <w:kern w:val="0"/>
                <w:sz w:val="28"/>
                <w:szCs w:val="28"/>
                <w:lang w:val="ru-RU" w:eastAsia="ru-RU" w:bidi="ar-SA"/>
              </w:rPr>
              <w:t xml:space="preserve"> №   </w:t>
            </w:r>
            <w:r>
              <w:rPr>
                <w:rFonts w:eastAsia="Times New Roman" w:cs="Times New Roman" w:ascii="Times New Roman" w:hAnsi="Times New Roman"/>
                <w:kern w:val="0"/>
                <w:sz w:val="28"/>
                <w:szCs w:val="28"/>
                <w:lang w:val="ru-RU" w:eastAsia="ru-RU" w:bidi="ar-SA"/>
              </w:rPr>
              <w:t>1054</w:t>
            </w:r>
          </w:p>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rmal"/>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810" w:type="dxa"/>
        <w:jc w:val="left"/>
        <w:tblInd w:w="0" w:type="dxa"/>
        <w:tblLayout w:type="fixed"/>
        <w:tblCellMar>
          <w:top w:w="0" w:type="dxa"/>
          <w:left w:w="108" w:type="dxa"/>
          <w:bottom w:w="0" w:type="dxa"/>
          <w:right w:w="108" w:type="dxa"/>
        </w:tblCellMar>
        <w:tblLook w:val="04a0"/>
      </w:tblPr>
      <w:tblGrid>
        <w:gridCol w:w="3655"/>
        <w:gridCol w:w="6154"/>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Наименование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54" w:type="dxa"/>
            <w:tcBorders/>
          </w:tcPr>
          <w:p>
            <w:pPr>
              <w:pStyle w:val="Normal"/>
              <w:widowControl w:val="false"/>
              <w:suppressAutoHyphens w:val="true"/>
              <w:spacing w:lineRule="auto" w:line="240" w:beforeAutospacing="1" w:after="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«Управление муниципальными финансами» (далее — муниципальная программа)</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tc>
        <w:tc>
          <w:tcPr>
            <w:tcW w:w="6154"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op w:val="nil"/>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Координаторы подпрограмм муниципальной программы</w:t>
            </w:r>
          </w:p>
        </w:tc>
        <w:tc>
          <w:tcPr>
            <w:tcW w:w="6154" w:type="dxa"/>
            <w:tcBorders>
              <w:top w:val="nil"/>
            </w:tcBorders>
          </w:tcPr>
          <w:p>
            <w:pPr>
              <w:pStyle w:val="NoSpacing"/>
              <w:widowControl w:val="false"/>
              <w:suppressAutoHyphens w:val="true"/>
              <w:spacing w:lineRule="auto" w:line="240" w:beforeAutospacing="1"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Подпрограммы муниципальной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54"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Иные исполнители отдельных мероприятий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54"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145"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54" w:type="dxa"/>
            <w:tcBorders/>
          </w:tcPr>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просроченной кредиторской задолженности бюджета муниципального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FFFFFF"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FFFFFF" w:val="clear"/>
                <w:lang w:val="ru-RU" w:eastAsia="ru-RU" w:bidi="ar-SA"/>
              </w:rPr>
              <w:t>;</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FFFFFF"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FFFFFF" w:val="clear"/>
                <w:lang w:val="ru-RU" w:eastAsia="ru-RU" w:bidi="ar-SA"/>
              </w:rPr>
              <w:t>;</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минимально гарантированный уровень расчётной бюджетной обеспеченности;</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содействие сбалансированности бюджетов поселений Северского района;</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sz w:val="28"/>
                <w:szCs w:val="28"/>
                <w:highlight w:val="none"/>
                <w:shd w:fill="FFFFFF" w:val="clear"/>
              </w:rPr>
            </w:pPr>
            <w:r>
              <w:rPr>
                <w:rFonts w:eastAsia="Times New Roman" w:cs="Times New Roman" w:ascii="Times New Roman" w:hAnsi="Times New Roman"/>
                <w:kern w:val="0"/>
                <w:sz w:val="28"/>
                <w:szCs w:val="28"/>
                <w:shd w:fill="FFFFFF" w:val="clear"/>
                <w:lang w:val="ru-RU" w:eastAsia="ru-RU" w:bidi="ar-SA"/>
              </w:rPr>
              <w:t>- отношение резервного  фонда администрации к общему объему расходов;</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 удельный вес расходов бюджета, в рамках программ в общем объеме расходов бюджета на 2015 – 2025годы.</w:t>
            </w:r>
          </w:p>
          <w:p>
            <w:pPr>
              <w:pStyle w:val="NoSpacing"/>
              <w:widowControl w:val="false"/>
              <w:suppressAutoHyphens w:val="true"/>
              <w:spacing w:before="0" w:after="0"/>
              <w:ind w:left="64" w:right="22" w:hanging="0"/>
              <w:jc w:val="both"/>
              <w:rPr>
                <w:rFonts w:ascii="Calibri" w:hAnsi="Calibri" w:eastAsia="" w:cs="" w:asciiTheme="minorHAnsi" w:cstheme="minorBidi" w:eastAsiaTheme="minorEastAsia" w:hAnsiTheme="minorHAnsi"/>
                <w:highlight w:val="none"/>
                <w:shd w:fill="FFFFFF" w:val="clear"/>
              </w:rPr>
            </w:pPr>
            <w:r>
              <w:rPr>
                <w:rFonts w:eastAsia="" w:cs="" w:cstheme="minorBidi" w:eastAsiaTheme="minorEastAsia"/>
                <w:shd w:fill="FFFFFF" w:val="clear"/>
              </w:rPr>
            </w:r>
          </w:p>
        </w:tc>
      </w:tr>
      <w:tr>
        <w:trPr>
          <w:trHeight w:val="875" w:hRule="atLeast"/>
        </w:trPr>
        <w:tc>
          <w:tcPr>
            <w:tcW w:w="3655" w:type="dxa"/>
            <w:tcBorders/>
          </w:tcPr>
          <w:p>
            <w:pPr>
              <w:pStyle w:val="Normal"/>
              <w:widowControl w:val="false"/>
              <w:suppressAutoHyphens w:val="true"/>
              <w:spacing w:lineRule="auto" w:line="240" w:beforeAutospacing="1" w:after="0"/>
              <w:ind w:right="-38"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54" w:type="dxa"/>
            <w:tcBorders/>
          </w:tcPr>
          <w:p>
            <w:pPr>
              <w:pStyle w:val="Normal"/>
              <w:widowControl w:val="false"/>
              <w:suppressAutoHyphens w:val="true"/>
              <w:spacing w:lineRule="auto" w:line="240"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- 2021-2025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w:t>
            </w:r>
          </w:p>
          <w:p>
            <w:pPr>
              <w:pStyle w:val="Normal"/>
              <w:widowControl w:val="false"/>
              <w:suppressAutoHyphens w:val="true"/>
              <w:spacing w:lineRule="auto" w:line="240" w:before="0" w:after="0"/>
              <w:jc w:val="both"/>
              <w:rPr>
                <w:rFonts w:ascii="Calibri" w:hAnsi="Calibri"/>
              </w:rPr>
            </w:pPr>
            <w:r>
              <w:rPr>
                <w:sz w:val="22"/>
              </w:rPr>
            </w:r>
          </w:p>
        </w:tc>
        <w:tc>
          <w:tcPr>
            <w:tcW w:w="6154" w:type="dxa"/>
            <w:tcBorders/>
          </w:tcPr>
          <w:p>
            <w:pPr>
              <w:pStyle w:val="Normal"/>
              <w:widowControl w:val="false"/>
              <w:suppressAutoHyphens w:val="true"/>
              <w:spacing w:lineRule="auto" w:line="240"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Общий объем финансирования муниципальной программы составляет 382</w:t>
            </w:r>
            <w:r>
              <w:rPr>
                <w:rFonts w:eastAsia="" w:cs="Times New Roman" w:ascii="Times New Roman" w:hAnsi="Times New Roman"/>
                <w:kern w:val="0"/>
                <w:sz w:val="28"/>
                <w:szCs w:val="28"/>
                <w:shd w:fill="FFFFFF" w:val="clear"/>
                <w:lang w:val="ru-RU" w:eastAsia="ru-RU" w:bidi="ar-SA"/>
              </w:rPr>
              <w:t xml:space="preserve"> 180</w:t>
            </w:r>
            <w:r>
              <w:rPr>
                <w:rFonts w:eastAsia="" w:cs="Times New Roman" w:ascii="Times New Roman" w:hAnsi="Times New Roman"/>
                <w:color w:val="000000"/>
                <w:kern w:val="0"/>
                <w:sz w:val="28"/>
                <w:szCs w:val="28"/>
                <w:shd w:fill="FFFFFF" w:val="clear"/>
                <w:lang w:val="ru-RU" w:eastAsia="ru-RU" w:bidi="ar-SA"/>
              </w:rPr>
              <w:t>,2</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left="64" w:right="22" w:hanging="0"/>
              <w:jc w:val="both"/>
              <w:rPr>
                <w:highlight w:val="none"/>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167 386,9</w:t>
            </w:r>
            <w:r>
              <w:rPr>
                <w:rFonts w:eastAsia="Times New Roman" w:cs="Times New Roman" w:ascii="Times New Roman" w:hAnsi="Times New Roman"/>
                <w:color w:val="000000"/>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 xml:space="preserve">34 813,8 </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- 36</w:t>
            </w:r>
            <w:r>
              <w:rPr>
                <w:rFonts w:eastAsia="Times New Roman" w:cs="Times New Roman" w:ascii="Times New Roman" w:hAnsi="Times New Roman"/>
                <w:color w:val="000000"/>
                <w:kern w:val="0"/>
                <w:sz w:val="28"/>
                <w:szCs w:val="28"/>
                <w:shd w:fill="FFFFFF" w:val="clear"/>
                <w:lang w:val="ru-RU" w:eastAsia="ru-RU" w:bidi="ar-SA"/>
              </w:rPr>
              <w:t xml:space="preserve"> 293,4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- 33</w:t>
            </w:r>
            <w:r>
              <w:rPr>
                <w:rFonts w:eastAsia="Times New Roman" w:cs="Times New Roman" w:ascii="Times New Roman" w:hAnsi="Times New Roman"/>
                <w:color w:val="000000"/>
                <w:kern w:val="0"/>
                <w:sz w:val="28"/>
                <w:szCs w:val="28"/>
                <w:shd w:fill="FFFFFF" w:val="clear"/>
                <w:lang w:val="ru-RU" w:eastAsia="ru-RU" w:bidi="ar-SA"/>
              </w:rPr>
              <w:t xml:space="preserve"> 995,4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33 995,4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из средств бюджета муниципального образования Северский район 343</w:t>
            </w:r>
            <w:r>
              <w:rPr>
                <w:rFonts w:eastAsia="Times New Roman" w:cs="Times New Roman" w:ascii="Times New Roman" w:hAnsi="Times New Roman"/>
                <w:color w:val="000000"/>
                <w:kern w:val="0"/>
                <w:sz w:val="28"/>
                <w:szCs w:val="28"/>
                <w:shd w:fill="FFFFFF" w:val="clear"/>
                <w:lang w:val="ru-RU" w:eastAsia="ru-RU" w:bidi="ar-SA"/>
              </w:rPr>
              <w:t xml:space="preserve"> 295,7</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 муниципальной программы 163</w:t>
            </w:r>
            <w:r>
              <w:rPr>
                <w:rFonts w:eastAsia="Times New Roman" w:cs="Times New Roman" w:ascii="Times New Roman" w:hAnsi="Times New Roman"/>
                <w:color w:val="000000"/>
                <w:kern w:val="0"/>
                <w:sz w:val="28"/>
                <w:szCs w:val="28"/>
                <w:shd w:fill="FFFFFF" w:val="clear"/>
                <w:lang w:val="ru-RU" w:eastAsia="ru-RU" w:bidi="ar-SA"/>
              </w:rPr>
              <w:t xml:space="preserve"> 303,4</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2022 год - 34</w:t>
            </w:r>
            <w:r>
              <w:rPr>
                <w:rFonts w:eastAsia="Times New Roman" w:cs="Times New Roman" w:ascii="Times New Roman" w:hAnsi="Times New Roman"/>
                <w:color w:val="000000"/>
                <w:kern w:val="0"/>
                <w:sz w:val="28"/>
                <w:szCs w:val="28"/>
                <w:shd w:fill="FFFFFF" w:val="clear"/>
                <w:lang w:val="ru-RU" w:eastAsia="ru-RU" w:bidi="ar-SA"/>
              </w:rPr>
              <w:t xml:space="preserve"> 004,5</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- 35</w:t>
            </w:r>
            <w:r>
              <w:rPr>
                <w:rFonts w:eastAsia="Times New Roman" w:cs="Times New Roman" w:ascii="Times New Roman" w:hAnsi="Times New Roman"/>
                <w:color w:val="000000"/>
                <w:kern w:val="0"/>
                <w:sz w:val="28"/>
                <w:szCs w:val="28"/>
                <w:shd w:fill="FFFFFF" w:val="clear"/>
                <w:lang w:val="ru-RU" w:eastAsia="ru-RU" w:bidi="ar-SA"/>
              </w:rPr>
              <w:t xml:space="preserve"> 438,6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2024 год - 33</w:t>
            </w:r>
            <w:r>
              <w:rPr>
                <w:rFonts w:eastAsia="Times New Roman" w:cs="Times New Roman" w:ascii="Times New Roman" w:hAnsi="Times New Roman"/>
                <w:color w:val="000000"/>
                <w:kern w:val="0"/>
                <w:sz w:val="28"/>
                <w:szCs w:val="28"/>
                <w:shd w:fill="FFFFFF" w:val="clear"/>
                <w:lang w:val="ru-RU" w:eastAsia="ru-RU" w:bidi="ar-SA"/>
              </w:rPr>
              <w:t xml:space="preserve"> 140,6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33 140,6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из бюджета Краснодарского края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cs="Times New Roman" w:ascii="Times New Roman" w:hAnsi="Times New Roman"/>
                <w:kern w:val="0"/>
                <w:sz w:val="28"/>
                <w:szCs w:val="28"/>
                <w:shd w:fill="FFFFFF" w:val="clear"/>
                <w:lang w:val="en-US" w:eastAsia="ru-RU" w:bidi="ar-SA"/>
              </w:rPr>
              <w:t>I</w:t>
            </w:r>
            <w:r>
              <w:rPr>
                <w:rFonts w:cs="Times New Roman" w:ascii="Times New Roman" w:hAnsi="Times New Roman"/>
                <w:kern w:val="0"/>
                <w:sz w:val="28"/>
                <w:szCs w:val="28"/>
                <w:shd w:fill="FFFFFF" w:val="clear"/>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2015 год – 0,0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cs="Times New Roman" w:ascii="Times New Roman" w:hAnsi="Times New Roman"/>
                <w:kern w:val="0"/>
                <w:sz w:val="28"/>
                <w:szCs w:val="28"/>
                <w:shd w:fill="FFFFFF" w:val="clear"/>
                <w:lang w:val="ru-RU" w:eastAsia="ru-RU" w:bidi="ar-SA"/>
              </w:rPr>
              <w:t xml:space="preserve">10 556,0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10 232,7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cs="Times New Roman" w:ascii="Times New Roman" w:hAnsi="Times New Roman"/>
                <w:kern w:val="0"/>
                <w:sz w:val="28"/>
                <w:szCs w:val="28"/>
                <w:shd w:fill="FFFFFF" w:val="clear"/>
                <w:lang w:val="ru-RU" w:eastAsia="ru-RU" w:bidi="ar-SA"/>
              </w:rPr>
              <w:t>10 178,9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2019 год –</w:t>
            </w:r>
            <w:r>
              <w:rPr>
                <w:rFonts w:cs="Times New Roman" w:ascii="Times New Roman" w:hAnsi="Times New Roman"/>
                <w:kern w:val="0"/>
                <w:sz w:val="28"/>
                <w:szCs w:val="28"/>
                <w:shd w:fill="FFFFFF" w:val="clear"/>
                <w:lang w:val="ru-RU" w:eastAsia="ru-RU" w:bidi="ar-SA"/>
              </w:rPr>
              <w:t xml:space="preserve"> 2 541,7</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2020 год – 0,0</w:t>
            </w:r>
            <w:r>
              <w:rPr>
                <w:rFonts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за счет средств поселений 5</w:t>
            </w:r>
            <w:r>
              <w:rPr>
                <w:rFonts w:eastAsia="Times New Roman" w:cs="Times New Roman" w:ascii="Times New Roman" w:hAnsi="Times New Roman"/>
                <w:color w:val="000000"/>
                <w:kern w:val="0"/>
                <w:sz w:val="28"/>
                <w:szCs w:val="28"/>
                <w:shd w:fill="FFFFFF" w:val="clear"/>
                <w:lang w:val="ru-RU" w:eastAsia="ru-RU" w:bidi="ar-SA"/>
              </w:rPr>
              <w:t xml:space="preserve"> 375,2</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cs="Times New Roman" w:ascii="Times New Roman" w:hAnsi="Times New Roman"/>
                <w:kern w:val="0"/>
                <w:sz w:val="28"/>
                <w:szCs w:val="28"/>
                <w:shd w:fill="FFFFFF" w:val="clear"/>
                <w:lang w:val="en-US" w:eastAsia="ru-RU" w:bidi="ar-SA"/>
              </w:rPr>
              <w:t>I</w:t>
            </w:r>
            <w:r>
              <w:rPr>
                <w:rFonts w:cs="Times New Roman" w:ascii="Times New Roman" w:hAnsi="Times New Roman"/>
                <w:kern w:val="0"/>
                <w:sz w:val="28"/>
                <w:szCs w:val="28"/>
                <w:shd w:fill="FFFFFF" w:val="clear"/>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cs="Times New Roman" w:ascii="Times New Roman" w:hAnsi="Times New Roman"/>
                <w:kern w:val="0"/>
                <w:sz w:val="28"/>
                <w:szCs w:val="28"/>
                <w:shd w:fill="FFFFFF" w:val="clear"/>
                <w:lang w:val="ru-RU" w:eastAsia="ru-RU" w:bidi="ar-SA"/>
              </w:rPr>
              <w:t>689,2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cs="Times New Roman" w:ascii="Times New Roman" w:hAnsi="Times New Roman"/>
                <w:kern w:val="0"/>
                <w:sz w:val="28"/>
                <w:szCs w:val="28"/>
                <w:shd w:fill="FFFFFF" w:val="clear"/>
                <w:lang w:val="ru-RU" w:eastAsia="ru-RU" w:bidi="ar-SA"/>
              </w:rPr>
              <w:t xml:space="preserve">602,5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 муниципальной программы 4</w:t>
            </w:r>
            <w:r>
              <w:rPr>
                <w:rFonts w:eastAsia="Times New Roman" w:cs="Times New Roman" w:ascii="Times New Roman" w:hAnsi="Times New Roman"/>
                <w:color w:val="000000"/>
                <w:kern w:val="0"/>
                <w:sz w:val="28"/>
                <w:szCs w:val="28"/>
                <w:shd w:fill="FFFFFF" w:val="clear"/>
                <w:lang w:val="ru-RU" w:eastAsia="ru-RU" w:bidi="ar-SA"/>
              </w:rPr>
              <w:t xml:space="preserve"> 083,5</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2021 год - 709,8 тыс. 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2022 год - 809,3 тыс.рублей;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- 854,8 тыс.рублей;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2024 год - 854,8 тыс.рублей;</w:t>
            </w:r>
          </w:p>
          <w:p>
            <w:pPr>
              <w:pStyle w:val="NoSpacing"/>
              <w:widowControl w:val="false"/>
              <w:suppressAutoHyphens w:val="true"/>
              <w:spacing w:before="0" w:after="0"/>
              <w:ind w:left="64" w:right="22" w:hanging="0"/>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2025 год - 854,8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54" w:type="dxa"/>
            <w:tcBorders/>
          </w:tcPr>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w:t>
            </w:r>
          </w:p>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 и Совет муниципального образования Северский район</w:t>
            </w:r>
          </w:p>
        </w:tc>
      </w:tr>
    </w:tbl>
    <w:p>
      <w:pPr>
        <w:pStyle w:val="NoSpacing"/>
        <w:numPr>
          <w:ilvl w:val="0"/>
          <w:numId w:val="1"/>
        </w:numPr>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Характеристика текущего состояния и основные проблемы в сфере реализации муниципальной программы</w:t>
      </w:r>
    </w:p>
    <w:p>
      <w:pPr>
        <w:pStyle w:val="NoSpacing"/>
        <w:numPr>
          <w:ilvl w:val="0"/>
          <w:numId w:val="0"/>
        </w:numPr>
        <w:ind w:left="720" w:hanging="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муниципальной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 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Муниципальная 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муниципальной программы являются муниципальные финансы или бюджет муниципального образования Северский район. С этим связана специфика муниципальной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Приказом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муниципальной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муниципальной программы позволит обеспечить эффективное решение актуальных вопросов развития бюджетной системы. </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 xml:space="preserve">2. Цели, задачи и целевые </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показатели, сроки и этапы реализации муниципальной программы</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Реализация муниципальной программы разделена на 2 этапа: первый  этап  - 2015-2020 годы, </w:t>
      </w:r>
      <w:r>
        <w:rPr>
          <w:rFonts w:eastAsia="Times New Roman" w:cs="Times New Roman" w:ascii="Times New Roman" w:hAnsi="Times New Roman"/>
          <w:sz w:val="28"/>
          <w:szCs w:val="28"/>
          <w:lang w:val="ru-RU"/>
        </w:rPr>
        <w:t>второй</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lang w:val="ru-RU"/>
        </w:rPr>
        <w:t>этап — 2021 — 2025 годы.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Целью на всех этапах муниципальной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Для достижения поставленной цели планируется решение следующих задач: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 </w:t>
      </w:r>
      <w:r>
        <w:rPr>
          <w:rFonts w:eastAsia="Times New Roman" w:cs="Times New Roman" w:ascii="Times New Roman" w:hAnsi="Times New Roman"/>
          <w:sz w:val="28"/>
          <w:szCs w:val="28"/>
          <w:lang w:val="en-US"/>
        </w:rPr>
        <w:t xml:space="preserve">I </w:t>
      </w:r>
      <w:r>
        <w:rPr>
          <w:rFonts w:eastAsia="Times New Roman" w:cs="Times New Roman" w:ascii="Times New Roman" w:hAnsi="Times New Roman"/>
          <w:sz w:val="28"/>
          <w:szCs w:val="28"/>
          <w:lang w:val="ru-RU"/>
        </w:rPr>
        <w:t>этапе (2015-2020гг.):</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r>
      <w:r>
        <w:rPr>
          <w:rFonts w:eastAsia="Times New Roman" w:cs="Times New Roman" w:ascii="Times New Roman" w:hAnsi="Times New Roman"/>
          <w:sz w:val="28"/>
          <w:szCs w:val="28"/>
          <w:shd w:fill="FFFFFF" w:val="clear"/>
        </w:rPr>
        <w:t xml:space="preserve">на </w:t>
      </w:r>
      <w:r>
        <w:rPr>
          <w:rFonts w:eastAsia="Times New Roman" w:cs="Times New Roman" w:ascii="Times New Roman" w:hAnsi="Times New Roman"/>
          <w:sz w:val="28"/>
          <w:szCs w:val="28"/>
          <w:shd w:fill="FFFFFF" w:val="clear"/>
          <w:lang w:val="en-US"/>
        </w:rPr>
        <w:t xml:space="preserve">II </w:t>
      </w:r>
      <w:r>
        <w:rPr>
          <w:rFonts w:eastAsia="Times New Roman" w:cs="Times New Roman" w:ascii="Times New Roman" w:hAnsi="Times New Roman"/>
          <w:sz w:val="28"/>
          <w:szCs w:val="28"/>
          <w:shd w:fill="FFFFFF" w:val="clear"/>
          <w:lang w:val="ru-RU"/>
        </w:rPr>
        <w:t>этапе (2021-2025гг.):</w:t>
      </w:r>
    </w:p>
    <w:p>
      <w:pPr>
        <w:pStyle w:val="Normal"/>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повышение качества финансового менеджмента в Северском районе.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муниципальной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муниципальной программы характеризуется следующими целевыми показателями:</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объем просроченной задолженности по долговым обязательствам муниципального образования Северский район;</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объем просроченной кредиторской задолженности бюджета муниципального образования Северский район;</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Значения целевых показателей муниципальной программы с расшифровкой плановых значений по годам приведены в приложении № 1 к муниципальной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 xml:space="preserve">3. Перечень основных мероприятий муниципальной программы </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муниципальной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3 </w:t>
      </w:r>
      <w:r>
        <w:rPr>
          <w:rFonts w:eastAsia="" w:cs="Times New Roman" w:ascii="Times New Roman" w:hAnsi="Times New Roman" w:eastAsiaTheme="minorEastAsia"/>
          <w:sz w:val="28"/>
          <w:szCs w:val="28"/>
          <w:shd w:fill="FFFFFF" w:val="clear"/>
        </w:rPr>
        <w:t>«Управление муниципальным долгом — обслуживание муниципального долга».</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переход к новому порядку составления бюджета муниципального района на основе программного подхода, при этом планируется увеличение доли расходов, формируемых в рамках программ, в 2015 - 2017 годах до 95%,  в последующие годы реализации программы  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«Обеспечение внутреннего муниципального финансового контроля».</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с 1 января 2019 года,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Для осуществления внутреннего муниципального финансового контроля между отдельными поселениями, входящих в состав муниципального района и муниципальным районом заключается соглашение о передачи части полномочий по осуществлению внутреннего муниципального контроля на определенный срок.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 за: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непревышением объема финансового обеспечения, включенного в планы-графики, над объемом финансового обеспечения для осушествления закупок, утвержденным и доведенным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соответствием информации об идентификационных кодах закупок непревышением объема финансового обеспечения для осуществления данных закупок, содержащихся в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информации и документах, неподлежащих в соответствии с этим законом формированию и размещению в единой информационной системе в сфере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 8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осуществляется контроль в отношении: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соблюдения правил нормирования в сфере закупок, установленных в соответствии со статьей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единиц товара, работы, услуги;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yle12"/>
          <w:rFonts w:cs="Times New Roman" w:ascii="Times New Roman" w:hAnsi="Times New Roman"/>
          <w:sz w:val="28"/>
          <w:szCs w:val="28"/>
        </w:rPr>
        <w:t>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pPr>
        <w:pStyle w:val="NoSpacing"/>
        <w:ind w:firstLine="708"/>
        <w:jc w:val="both"/>
        <w:rPr>
          <w:rFonts w:ascii="Times New Roman" w:hAnsi="Times New Roman" w:cs="Times New Roman"/>
          <w:sz w:val="28"/>
          <w:szCs w:val="28"/>
        </w:rPr>
      </w:pPr>
      <w:r>
        <w:rPr>
          <w:rStyle w:val="Style12"/>
          <w:rFonts w:cs="Times New Roman" w:ascii="Times New Roman" w:hAnsi="Times New Roman"/>
          <w:sz w:val="28"/>
          <w:szCs w:val="28"/>
        </w:rPr>
        <w:t>- соответствия использования поставленного товара, выполненной работы (ее результата) или оказанной услуги целям осуществления закупки.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муниципальной программы. Функции организационно-технического и информационно-аналитического обеспечения реализации муниципальной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w:t>
      </w:r>
      <w:r>
        <w:rPr>
          <w:rFonts w:eastAsia="Times New Roman" w:cs="Times New Roman" w:ascii="Times New Roman" w:hAnsi="Times New Roman"/>
          <w:sz w:val="28"/>
          <w:szCs w:val="28"/>
          <w:shd w:fill="FFFFFF" w:val="clear"/>
        </w:rPr>
        <w:t>Основное мероприятие 3 «Управление муниципальным долгом — обслуживание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источники финансирования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spacing w:lineRule="auto" w:line="240"/>
        <w:ind w:firstLine="708"/>
        <w:jc w:val="both"/>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spacing w:lineRule="auto" w:line="240"/>
        <w:ind w:firstLine="708"/>
        <w:jc w:val="both"/>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spacing w:lineRule="auto" w:line="240"/>
        <w:jc w:val="both"/>
        <w:rPr/>
      </w:pPr>
      <w:r>
        <w:rPr>
          <w:rFonts w:cs="Times New Roman" w:ascii="Times New Roman" w:hAnsi="Times New Roman"/>
          <w:sz w:val="28"/>
          <w:szCs w:val="28"/>
        </w:rPr>
        <w:t>Реализация данной задачи направлена на:</w:t>
      </w:r>
    </w:p>
    <w:p>
      <w:pPr>
        <w:pStyle w:val="NoSpacing"/>
        <w:spacing w:lineRule="auto" w:line="240"/>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spacing w:lineRule="auto" w:line="240"/>
        <w:ind w:firstLine="708"/>
        <w:jc w:val="both"/>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spacing w:lineRule="auto" w:line="240"/>
        <w:ind w:firstLine="708"/>
        <w:jc w:val="both"/>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spacing w:lineRule="auto" w:line="240"/>
        <w:ind w:firstLine="708"/>
        <w:jc w:val="both"/>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left="0" w:firstLine="709"/>
        <w:jc w:val="both"/>
        <w:rPr/>
      </w:pPr>
      <w:r>
        <w:rPr>
          <w:rFonts w:ascii="Times New Roman" w:hAnsi="Times New Roman"/>
          <w:sz w:val="28"/>
          <w:szCs w:val="28"/>
        </w:rPr>
        <w:t>Реализация данной задачи направлена на:</w:t>
      </w:r>
    </w:p>
    <w:p>
      <w:pPr>
        <w:pStyle w:val="BodyTextIndent3"/>
        <w:spacing w:lineRule="auto" w:line="240" w:before="0" w:after="0"/>
        <w:ind w:left="0" w:firstLine="709"/>
        <w:jc w:val="both"/>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2"/>
        <w:spacing w:lineRule="auto" w:line="240" w:before="0" w:after="0"/>
        <w:ind w:left="0" w:firstLine="708"/>
        <w:jc w:val="both"/>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2"/>
        <w:spacing w:lineRule="auto" w:line="240" w:before="0" w:after="0"/>
        <w:ind w:left="0" w:firstLine="708"/>
        <w:jc w:val="both"/>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spacing w:lineRule="auto" w:line="240" w:before="0" w:after="0"/>
        <w:ind w:firstLine="708"/>
        <w:jc w:val="both"/>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rmal"/>
        <w:spacing w:lineRule="auto" w:line="240" w:before="0" w:after="86"/>
        <w:ind w:firstLine="708"/>
        <w:jc w:val="both"/>
        <w:rPr/>
      </w:pPr>
      <w:r>
        <w:rPr>
          <w:rFonts w:cs="Times New Roman" w:ascii="Times New Roman" w:hAnsi="Times New Roman"/>
          <w:sz w:val="28"/>
          <w:szCs w:val="28"/>
        </w:rPr>
        <w:t>Расходы бюджета муниципального образования Северский район на</w:t>
      </w:r>
      <w:r>
        <w:rPr>
          <w:rFonts w:eastAsia="Times New Roman" w:cs="Times New Roman" w:ascii="Times New Roman" w:hAnsi="Times New Roman"/>
          <w:sz w:val="28"/>
          <w:szCs w:val="28"/>
        </w:rPr>
        <w:t xml:space="preserve"> реализацию программы приведены в приложении № 2 к муниципальной программе.</w:t>
      </w:r>
    </w:p>
    <w:p>
      <w:pPr>
        <w:pStyle w:val="NoSpacing"/>
        <w:spacing w:lineRule="auto" w:line="240"/>
        <w:jc w:val="center"/>
        <w:rPr/>
      </w:pPr>
      <w:r>
        <w:rPr>
          <w:rFonts w:eastAsia="Times New Roman" w:cs="Times New Roman" w:ascii="Times New Roman" w:hAnsi="Times New Roman"/>
          <w:b/>
          <w:sz w:val="28"/>
          <w:szCs w:val="28"/>
        </w:rPr>
        <w:t>4. Методика оценки эффективности  реализации</w:t>
      </w:r>
    </w:p>
    <w:p>
      <w:pPr>
        <w:pStyle w:val="NoSpacing"/>
        <w:spacing w:lineRule="auto" w:line="240"/>
        <w:jc w:val="center"/>
        <w:rPr/>
      </w:pPr>
      <w:r>
        <w:rPr>
          <w:rFonts w:eastAsia="Times New Roman" w:cs="Times New Roman" w:ascii="Times New Roman" w:hAnsi="Times New Roman"/>
          <w:b/>
          <w:sz w:val="28"/>
          <w:szCs w:val="28"/>
        </w:rPr>
        <w:t>муниципальной программы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pPr>
      <w:r>
        <w:rPr>
          <w:rFonts w:eastAsia="Times New Roman" w:cs="Times New Roman" w:ascii="Times New Roman" w:hAnsi="Times New Roman"/>
          <w:b w:val="false"/>
          <w:bCs w:val="false"/>
          <w:sz w:val="28"/>
          <w:szCs w:val="28"/>
        </w:rPr>
        <w:tab/>
        <w:t>Оценка эффективности реализации муниципальной программы осуществляется в соответствии с методикой, предусмотренной постановлением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shd w:fill="FFFFFF" w:val="clear"/>
        </w:rPr>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tab/>
        <w:t xml:space="preserve">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 </w:t>
      </w:r>
    </w:p>
    <w:p>
      <w:pPr>
        <w:pStyle w:val="Normal"/>
        <w:spacing w:before="0" w:after="0"/>
        <w:jc w:val="both"/>
        <w:rPr>
          <w:highlight w:val="none"/>
          <w:shd w:fill="FFFFFF" w:val="clear"/>
        </w:rPr>
      </w:pPr>
      <w:r>
        <w:rPr>
          <w:rFonts w:eastAsia="Times New Roman" w:cs="Times New Roman" w:ascii="Times New Roman" w:hAnsi="Times New Roman"/>
          <w:sz w:val="28"/>
          <w:szCs w:val="28"/>
          <w:shd w:fill="FFFFFF" w:val="clear"/>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highlight w:val="none"/>
          <w:shd w:fill="FFFFFF" w:val="clear"/>
        </w:rPr>
      </w:pPr>
      <w:r>
        <w:rPr>
          <w:rFonts w:eastAsia="Times New Roman" w:cs="Times New Roman" w:ascii="Times New Roman" w:hAnsi="Times New Roman"/>
          <w:sz w:val="28"/>
          <w:szCs w:val="28"/>
          <w:shd w:fill="FFFFFF" w:val="clear"/>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highlight w:val="none"/>
          <w:shd w:fill="FFFFFF" w:val="clear"/>
        </w:rPr>
      </w:pPr>
      <w:r>
        <w:rPr>
          <w:rFonts w:eastAsia="Times New Roman" w:cs="Times New Roman" w:ascii="Times New Roman" w:hAnsi="Times New Roman"/>
          <w:b w:val="false"/>
          <w:bCs w:val="false"/>
          <w:sz w:val="28"/>
          <w:szCs w:val="28"/>
          <w:shd w:fill="FFFFFF" w:val="clear"/>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ind w:firstLine="708"/>
        <w:jc w:val="both"/>
        <w:rPr>
          <w:highlight w:val="none"/>
          <w:shd w:fill="FFFFFF" w:val="clear"/>
        </w:rPr>
      </w:pPr>
      <w:r>
        <w:rPr>
          <w:shd w:fill="FFFFFF" w:val="clear"/>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5. Механизм реализации муниципальной программы</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обеспечивает разработку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ежегодно 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готовит годовой отчет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достигнутых результатах и изменениях, внесенных в муниципальную программу в государственной автоматизированной информационной системе «Управление» и иных информационных ресурсах в сроки, установленные действующим законодательством;</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В целях осуществления текущего контроля представляют координатору муниципальной программы отчеты о реализации муниципальной программы, а также информацию, необходимую для проведения оценки эффективности муниципальной программы, мониторинга ее реализации, в том числе информацию для подготовки годового отчета об итогах реализации муниципальной программы в соответствии с п.4.3., п.4.4. Приложения № 1 к постановлению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на сбалансированность бюджетам поселений предоставляется бюджетам поселений при возникновении необходимости в ее предоставлении.</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Заместитель главы администрации </w:t>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(начальник </w:t>
      </w:r>
      <w:r>
        <w:rPr>
          <w:rFonts w:eastAsia="Times New Roman" w:cs="Times New Roman" w:ascii="Times New Roman" w:hAnsi="Times New Roman"/>
          <w:sz w:val="28"/>
          <w:szCs w:val="28"/>
          <w:lang w:val="ru-RU"/>
        </w:rPr>
        <w:t xml:space="preserve">финансового управления)                                                  К.В.Леуцкая                                                                                                                            </w:t>
      </w:r>
    </w:p>
    <w:sectPr>
      <w:headerReference w:type="default" r:id="rId2"/>
      <w:headerReference w:type="first" r:id="rId3"/>
      <w:type w:val="nextPage"/>
      <w:pgSz w:w="11906" w:h="16838"/>
      <w:pgMar w:left="1701" w:right="566" w:gutter="0" w:header="709" w:top="766" w:footer="0" w:bottom="107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jc w:val="center"/>
      <w:rPr>
        <w:rFonts w:ascii="Times New Roman" w:hAnsi="Times New Roman"/>
        <w:sz w:val="26"/>
        <w:szCs w:val="26"/>
      </w:rPr>
    </w:pPr>
    <w:r>
      <w:rPr>
        <w:rFonts w:ascii="Times New Roman" w:hAnsi="Times New Roman"/>
        <w:sz w:val="26"/>
        <w:szCs w:val="26"/>
      </w:rPr>
      <w:fldChar w:fldCharType="begin"/>
    </w:r>
    <w:r>
      <w:rPr>
        <w:sz w:val="26"/>
        <w:szCs w:val="26"/>
        <w:rFonts w:ascii="Times New Roman" w:hAnsi="Times New Roman"/>
      </w:rPr>
      <w:instrText xml:space="preserve"> PAGE </w:instrText>
    </w:r>
    <w:r>
      <w:rPr>
        <w:sz w:val="26"/>
        <w:szCs w:val="26"/>
        <w:rFonts w:ascii="Times New Roman" w:hAnsi="Times New Roman"/>
      </w:rPr>
      <w:fldChar w:fldCharType="separate"/>
    </w:r>
    <w:r>
      <w:rPr>
        <w:sz w:val="26"/>
        <w:szCs w:val="26"/>
        <w:rFonts w:ascii="Times New Roman" w:hAnsi="Times New Roman"/>
      </w:rPr>
      <w:t>21</w:t>
    </w:r>
    <w:r>
      <w:rPr>
        <w:sz w:val="26"/>
        <w:szCs w:val="26"/>
        <w:rFonts w:ascii="Times New Roman" w:hAnsi="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jc w:val="center"/>
      <w:rPr>
        <w:rFonts w:ascii="Times New Roman" w:hAnsi="Times New Roman"/>
        <w:sz w:val="28"/>
        <w:szCs w:val="28"/>
      </w:rPr>
    </w:pPr>
    <w:r>
      <w:rPr>
        <w:rFonts w:ascii="Times New Roman" w:hAnsi="Times New Roman"/>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284"/>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customStyle="1">
    <w:name w:val="Heading 1"/>
    <w:basedOn w:val="Normal"/>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semiHidden/>
    <w:qFormat/>
    <w:rsid w:val="000050ef"/>
    <w:rPr>
      <w:rFonts w:ascii="Calibri" w:hAnsi="Calibri" w:eastAsia="Calibri" w:cs="Times New Roman"/>
      <w:sz w:val="16"/>
      <w:szCs w:val="16"/>
    </w:rPr>
  </w:style>
  <w:style w:type="character" w:styleId="Style8" w:customStyle="1">
    <w:name w:val="Верхний колонтитул Знак"/>
    <w:basedOn w:val="DefaultParagraphFont"/>
    <w:uiPriority w:val="99"/>
    <w:qFormat/>
    <w:rsid w:val="00de7881"/>
    <w:rPr/>
  </w:style>
  <w:style w:type="character" w:styleId="Style9" w:customStyle="1">
    <w:name w:val="Нижний колонтитул Знак"/>
    <w:basedOn w:val="DefaultParagraphFont"/>
    <w:uiPriority w:val="99"/>
    <w:semiHidden/>
    <w:qFormat/>
    <w:rsid w:val="00de7881"/>
    <w:rPr/>
  </w:style>
  <w:style w:type="character" w:styleId="Style10" w:customStyle="1">
    <w:name w:val="Гипертекстовая ссылка"/>
    <w:basedOn w:val="DefaultParagraphFont"/>
    <w:uiPriority w:val="99"/>
    <w:qFormat/>
    <w:rsid w:val="006b5feb"/>
    <w:rPr>
      <w:color w:val="106BBE"/>
    </w:rPr>
  </w:style>
  <w:style w:type="character" w:styleId="Style11" w:customStyle="1">
    <w:name w:val="Текст выноски Знак"/>
    <w:basedOn w:val="DefaultParagraphFont"/>
    <w:uiPriority w:val="99"/>
    <w:semiHidden/>
    <w:qFormat/>
    <w:rsid w:val="008f7b31"/>
    <w:rPr>
      <w:rFonts w:ascii="Calibri" w:hAnsi="Calibri"/>
      <w:sz w:val="18"/>
      <w:szCs w:val="18"/>
    </w:rPr>
  </w:style>
  <w:style w:type="character" w:styleId="Style12">
    <w:name w:val="Цветовое выделение для Текст"/>
    <w:qFormat/>
    <w:rPr/>
  </w:style>
  <w:style w:type="paragraph" w:styleId="Style13" w:customStyle="1">
    <w:name w:val="Заголовок"/>
    <w:basedOn w:val="Normal"/>
    <w:next w:val="Style14"/>
    <w:qFormat/>
    <w:rsid w:val="007c21b5"/>
    <w:pPr>
      <w:keepNext w:val="true"/>
      <w:spacing w:before="240" w:after="120"/>
    </w:pPr>
    <w:rPr>
      <w:rFonts w:ascii="Liberation Sans" w:hAnsi="Liberation Sans" w:eastAsia="Microsoft YaHei" w:cs="Mangal"/>
      <w:sz w:val="28"/>
      <w:szCs w:val="28"/>
    </w:rPr>
  </w:style>
  <w:style w:type="paragraph" w:styleId="Style14">
    <w:name w:val="Body Text"/>
    <w:basedOn w:val="Normal"/>
    <w:rsid w:val="007c21b5"/>
    <w:pPr>
      <w:spacing w:before="0" w:after="140"/>
    </w:pPr>
    <w:rPr/>
  </w:style>
  <w:style w:type="paragraph" w:styleId="Style15">
    <w:name w:val="List"/>
    <w:basedOn w:val="Style14"/>
    <w:rsid w:val="007c21b5"/>
    <w:pPr/>
    <w:rPr>
      <w:rFonts w:cs="Mangal"/>
    </w:rPr>
  </w:style>
  <w:style w:type="paragraph" w:styleId="Style16" w:customStyle="1">
    <w:name w:val="Caption"/>
    <w:basedOn w:val="Normal"/>
    <w:qFormat/>
    <w:rsid w:val="007c21b5"/>
    <w:pPr>
      <w:suppressLineNumbers/>
      <w:spacing w:before="120" w:after="120"/>
    </w:pPr>
    <w:rPr>
      <w:rFonts w:cs="Mangal"/>
      <w:i/>
      <w:iCs/>
      <w:sz w:val="24"/>
      <w:szCs w:val="24"/>
    </w:rPr>
  </w:style>
  <w:style w:type="paragraph" w:styleId="Style17">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2" w:customStyle="1">
    <w:name w:val="Абзац списка1"/>
    <w:basedOn w:val="Normal"/>
    <w:qFormat/>
    <w:rsid w:val="000050ef"/>
    <w:pPr>
      <w:ind w:left="720" w:hanging="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left="283" w:hanging="0"/>
    </w:pPr>
    <w:rPr>
      <w:rFonts w:ascii="Calibri" w:hAnsi="Calibri" w:eastAsia="Calibri" w:cs="Times New Roman"/>
      <w:sz w:val="16"/>
      <w:szCs w:val="16"/>
    </w:rPr>
  </w:style>
  <w:style w:type="paragraph" w:styleId="Style18" w:customStyle="1">
    <w:name w:val="Верхний и нижний колонтитулы"/>
    <w:basedOn w:val="Normal"/>
    <w:qFormat/>
    <w:rsid w:val="007c21b5"/>
    <w:pPr/>
    <w:rPr/>
  </w:style>
  <w:style w:type="paragraph" w:styleId="Style19">
    <w:name w:val="Колонтитул"/>
    <w:basedOn w:val="Normal"/>
    <w:qFormat/>
    <w:pPr/>
    <w:rPr/>
  </w:style>
  <w:style w:type="paragraph" w:styleId="Style20"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Style21"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left="720" w:hanging="0"/>
      <w:contextualSpacing/>
    </w:pPr>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paragraph" w:styleId="Style24">
    <w:name w:val="Нормальный (таблица)"/>
    <w:basedOn w:val="Normal"/>
    <w:next w:val="Normal"/>
    <w:qFormat/>
    <w:pPr>
      <w:ind w:hanging="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2687</TotalTime>
  <Application>LibreOffice/7.5.0.3$Windows_X86_64 LibreOffice_project/c21113d003cd3efa8c53188764377a8272d9d6de</Application>
  <AppVersion>15.0000</AppVersion>
  <Pages>21</Pages>
  <Words>5342</Words>
  <Characters>41737</Characters>
  <CharactersWithSpaces>47117</CharactersWithSpaces>
  <Paragraphs>300</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НПП "Гарант-Сервис"</dc:creator>
  <dc:description>Документ экспортирован из системы ГАРАНТ</dc:description>
  <dc:language>ru-RU</dc:language>
  <cp:lastModifiedBy/>
  <dcterms:modified xsi:type="dcterms:W3CDTF">2023-07-17T17:32:06Z</dcterms:modified>
  <cp:revision>263</cp:revision>
  <dc:subject/>
  <dc:title>Оглавление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